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BUSINESS PROPOSAL · 실무형 제안 구조</w:t>
      </w:r>
    </w:p>
    <w:p>
      <w:pPr>
        <w:pStyle w:val="Title"/>
        <w:jc w:val="center"/>
      </w:pPr>
      <w:r>
        <w:t>사업 제안서</w:t>
      </w:r>
    </w:p>
    <w:p>
      <w:pPr>
        <w:pStyle w:val="Subtitle"/>
        <w:jc w:val="center"/>
      </w:pPr>
      <w:r>
        <w:t>문제에서 실행 계획까지 한 흐름으로 설득하는 템플릿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제안명  </w:t>
      </w:r>
      <w:r>
        <w:rPr>
          <w:rFonts w:ascii="Malgun Gothic" w:hAnsi="Malgun Gothic" w:eastAsia="Malgun Gothic"/>
          <w:color w:val="243447"/>
          <w:spacing w:val="0"/>
          <w:sz w:val="21"/>
        </w:rPr>
        <w:t>{{제안 사업명}}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제안 대상  </w:t>
      </w:r>
      <w:r>
        <w:rPr>
          <w:rFonts w:ascii="Malgun Gothic" w:hAnsi="Malgun Gothic" w:eastAsia="Malgun Gothic"/>
          <w:color w:val="243447"/>
          <w:spacing w:val="0"/>
          <w:sz w:val="21"/>
        </w:rPr>
        <w:t>{{고객사·기관명}}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제안사  </w:t>
      </w:r>
      <w:r>
        <w:rPr>
          <w:rFonts w:ascii="Malgun Gothic" w:hAnsi="Malgun Gothic" w:eastAsia="Malgun Gothic"/>
          <w:color w:val="243447"/>
          <w:spacing w:val="0"/>
          <w:sz w:val="21"/>
        </w:rPr>
        <w:t>{{회사명}}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제출일  </w:t>
      </w:r>
      <w:r>
        <w:rPr>
          <w:rFonts w:ascii="Malgun Gothic" w:hAnsi="Malgun Gothic" w:eastAsia="Malgun Gothic"/>
          <w:color w:val="243447"/>
          <w:spacing w:val="0"/>
          <w:sz w:val="21"/>
        </w:rPr>
        <w:t>YYYY-MM-DD  ·  버전 v1.0</w:t>
      </w:r>
    </w:p>
    <w:p/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배경 → 제안 한 줄 → 기대효과 → 실행·비용 → 위험 순서로 채우면 검토자가 빠르게 판단할 수 있습니다.</w:t>
      </w:r>
    </w:p>
    <w:p>
      <w:r>
        <w:br w:type="page"/>
      </w:r>
    </w:p>
    <w:p>
      <w:pPr>
        <w:pStyle w:val="Heading1"/>
      </w:pPr>
      <w:r>
        <w:t>제안 요약</w:t>
      </w:r>
    </w:p>
    <w:p>
      <w:pPr>
        <w:pStyle w:val="HaruCallout"/>
        <w:shd w:fill="EAF1FF"/>
        <w:pBdr>
          <w:left w:val="single" w:sz="18" w:space="8" w:color="2B6FF7"/>
        </w:pBdr>
      </w:pPr>
      <w:r>
        <w:rPr>
          <w:rFonts w:ascii="Malgun Gothic" w:hAnsi="Malgun Gothic" w:eastAsia="Malgun Gothic"/>
          <w:b/>
          <w:color w:val="2B6FF7"/>
          <w:spacing w:val="0"/>
          <w:sz w:val="21"/>
        </w:rPr>
        <w:t xml:space="preserve">한 문장 제안  </w:t>
      </w:r>
      <w:r>
        <w:rPr>
          <w:rFonts w:ascii="Malgun Gothic" w:hAnsi="Malgun Gothic" w:eastAsia="Malgun Gothic"/>
          <w:color w:val="17324D"/>
          <w:spacing w:val="0"/>
          <w:sz w:val="21"/>
        </w:rPr>
        <w:t>{{누구}}의 {{문제}}를 {{해결 방식}}으로 개선하여 {{측정 가능한 결과}}를 만듭니다.</w:t>
      </w:r>
    </w:p>
    <w:p>
      <w:pPr>
        <w:pStyle w:val="Heading2"/>
      </w:pPr>
      <w:r>
        <w:t>배경과 기회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현재 {{대상 조직·사용자}}는 {{현황}} 때문에 {{업무·비용·품질상의 손실}}을 겪고 있습니다. 본 제안은 우선순위가 높은 {{핵심 범위}}부터 검증 가능한 방식으로 개선합니다.</w:t>
      </w:r>
    </w:p>
    <w:p>
      <w:pPr>
        <w:pStyle w:val="Heading2"/>
      </w:pPr>
      <w:r>
        <w:t>목표와 성공 기준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265"/>
        <w:gridCol w:w="1956"/>
        <w:gridCol w:w="1545"/>
        <w:gridCol w:w="1545"/>
        <w:gridCol w:w="2327"/>
      </w:tblGrid>
      <w:tr>
        <w:trPr>
          <w:tblHeader w:val="true"/>
        </w:trPr>
        <w:tc>
          <w:tcPr>
            <w:tcW w:type="dxa" w:w="226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</w:t>
            </w:r>
          </w:p>
        </w:tc>
        <w:tc>
          <w:tcPr>
            <w:tcW w:type="dxa" w:w="1956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측정 지표</w:t>
            </w:r>
          </w:p>
        </w:tc>
        <w:tc>
          <w:tcPr>
            <w:tcW w:type="dxa" w:w="15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현재</w:t>
            </w:r>
          </w:p>
        </w:tc>
        <w:tc>
          <w:tcPr>
            <w:tcW w:type="dxa" w:w="15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</w:t>
            </w:r>
          </w:p>
        </w:tc>
        <w:tc>
          <w:tcPr>
            <w:tcW w:type="dxa" w:w="2327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측정 시점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처리 시간 단축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평균 리드타임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{{현재값}}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{{목표값}}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오픈 후 3개월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 안정화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재작업률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{{현재값}}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{{목표값}}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월간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사용 확산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활성 사용자율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{{현재값}}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{{목표값}}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오픈 후 6개월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제안 범위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포함: {{분석·설계·구축·교육 등 실제 제공 범위}}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제외: {{별도 계약 또는 고객 수행 범위}}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전제: {{승인·데이터·담당자·환경 제공 조건}}</w:t>
      </w:r>
    </w:p>
    <w:p>
      <w:r>
        <w:br w:type="page"/>
      </w:r>
    </w:p>
    <w:p>
      <w:pPr>
        <w:pStyle w:val="Heading1"/>
      </w:pPr>
      <w:r>
        <w:t>실행 계획</w:t>
      </w:r>
    </w:p>
    <w:p>
      <w:pPr>
        <w:pStyle w:val="Heading2"/>
      </w:pPr>
      <w:r>
        <w:t>핵심 산출물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059"/>
        <w:gridCol w:w="3089"/>
        <w:gridCol w:w="2574"/>
        <w:gridCol w:w="1916"/>
      </w:tblGrid>
      <w:tr>
        <w:trPr>
          <w:tblHeader w:val="true"/>
        </w:trPr>
        <w:tc>
          <w:tcPr>
            <w:tcW w:type="dxa" w:w="205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산출물</w:t>
            </w:r>
          </w:p>
        </w:tc>
        <w:tc>
          <w:tcPr>
            <w:tcW w:type="dxa" w:w="308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내용</w:t>
            </w:r>
          </w:p>
        </w:tc>
        <w:tc>
          <w:tcPr>
            <w:tcW w:type="dxa" w:w="2574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완료 기준</w:t>
            </w:r>
          </w:p>
        </w:tc>
        <w:tc>
          <w:tcPr>
            <w:tcW w:type="dxa" w:w="1916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현황 분석서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프로세스·문제·기준선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고객 검토 승인</w:t>
            </w:r>
          </w:p>
        </w:tc>
        <w:tc>
          <w:tcPr>
            <w:tcW w:type="dxa" w:w="19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설계안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구조·화면·운영 설계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요구사항 추적 완료</w:t>
            </w:r>
          </w:p>
        </w:tc>
        <w:tc>
          <w:tcPr>
            <w:tcW w:type="dxa" w:w="19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구축 결과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검증 가능한 기능·환경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인수 테스트 통과</w:t>
            </w:r>
          </w:p>
        </w:tc>
        <w:tc>
          <w:tcPr>
            <w:tcW w:type="dxa" w:w="19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운영 전환 패키지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매뉴얼·교육·인수인계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운영자 확인</w:t>
            </w:r>
          </w:p>
        </w:tc>
        <w:tc>
          <w:tcPr>
            <w:tcW w:type="dxa" w:w="19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{{담당}}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일정과 의사결정 지점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545"/>
        <w:gridCol w:w="1339"/>
        <w:gridCol w:w="4016"/>
        <w:gridCol w:w="2738"/>
      </w:tblGrid>
      <w:tr>
        <w:trPr>
          <w:tblHeader w:val="true"/>
        </w:trPr>
        <w:tc>
          <w:tcPr>
            <w:tcW w:type="dxa" w:w="1545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단계</w:t>
            </w:r>
          </w:p>
        </w:tc>
        <w:tc>
          <w:tcPr>
            <w:tcW w:type="dxa" w:w="1339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기간</w:t>
            </w:r>
          </w:p>
        </w:tc>
        <w:tc>
          <w:tcPr>
            <w:tcW w:type="dxa" w:w="4016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주요 활동</w:t>
            </w:r>
          </w:p>
        </w:tc>
        <w:tc>
          <w:tcPr>
            <w:tcW w:type="dxa" w:w="273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결정·승인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착수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1주</w:t>
            </w:r>
          </w:p>
        </w:tc>
        <w:tc>
          <w:tcPr>
            <w:tcW w:type="dxa" w:w="40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목표·범위·역할 정렬</w:t>
            </w:r>
          </w:p>
        </w:tc>
        <w:tc>
          <w:tcPr>
            <w:tcW w:type="dxa" w:w="273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착수 기준 확정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분석·설계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2~4주</w:t>
            </w:r>
          </w:p>
        </w:tc>
        <w:tc>
          <w:tcPr>
            <w:tcW w:type="dxa" w:w="40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요구사항·설계 검토</w:t>
            </w:r>
          </w:p>
        </w:tc>
        <w:tc>
          <w:tcPr>
            <w:tcW w:type="dxa" w:w="273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설계 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구축·검증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5~9주</w:t>
            </w:r>
          </w:p>
        </w:tc>
        <w:tc>
          <w:tcPr>
            <w:tcW w:type="dxa" w:w="40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구축·시험·보완</w:t>
            </w:r>
          </w:p>
        </w:tc>
        <w:tc>
          <w:tcPr>
            <w:tcW w:type="dxa" w:w="273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인수 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전환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10주</w:t>
            </w:r>
          </w:p>
        </w:tc>
        <w:tc>
          <w:tcPr>
            <w:tcW w:type="dxa" w:w="401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교육·운영 이관</w:t>
            </w:r>
          </w:p>
        </w:tc>
        <w:tc>
          <w:tcPr>
            <w:tcW w:type="dxa" w:w="273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오픈 결정</w:t>
            </w:r>
          </w:p>
        </w:tc>
      </w:tr>
    </w:tbl>
    <w:p>
      <w:pPr>
        <w:pStyle w:val="HaruSmall"/>
        <w:spacing w:after="80"/>
      </w:pPr>
    </w:p>
    <w:p>
      <w:pPr>
        <w:pStyle w:val="HaruCallout"/>
        <w:shd w:fill="FFF6DE"/>
        <w:pBdr>
          <w:left w:val="single" w:sz="18" w:space="8" w:color="B17A00"/>
        </w:pBdr>
      </w:pPr>
      <w:r>
        <w:rPr>
          <w:rFonts w:ascii="Malgun Gothic" w:hAnsi="Malgun Gothic" w:eastAsia="Malgun Gothic"/>
          <w:b/>
          <w:color w:val="B17A00"/>
          <w:spacing w:val="0"/>
          <w:sz w:val="21"/>
        </w:rPr>
        <w:t xml:space="preserve">의사결정 포인트  </w:t>
      </w:r>
      <w:r>
        <w:rPr>
          <w:rFonts w:ascii="Malgun Gothic" w:hAnsi="Malgun Gothic" w:eastAsia="Malgun Gothic"/>
          <w:color w:val="17324D"/>
          <w:spacing w:val="0"/>
          <w:sz w:val="21"/>
        </w:rPr>
        <w:t>각 단계 종료 시 승인자, 필요한 근거, 승인 기한을 함께 적어 일정 지연을 예방하세요.</w:t>
      </w:r>
    </w:p>
    <w:p>
      <w:r>
        <w:br w:type="page"/>
      </w:r>
    </w:p>
    <w:p>
      <w:pPr>
        <w:pStyle w:val="Heading1"/>
      </w:pPr>
      <w:r>
        <w:t>비용·위험·마무리</w:t>
      </w:r>
    </w:p>
    <w:p>
      <w:pPr>
        <w:pStyle w:val="Heading2"/>
      </w:pPr>
      <w:r>
        <w:t>예산 개요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162"/>
        <w:gridCol w:w="3295"/>
        <w:gridCol w:w="1956"/>
        <w:gridCol w:w="2225"/>
      </w:tblGrid>
      <w:tr>
        <w:trPr>
          <w:tblHeader w:val="true"/>
        </w:trPr>
        <w:tc>
          <w:tcPr>
            <w:tcW w:type="dxa" w:w="216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비용 항목</w:t>
            </w:r>
          </w:p>
        </w:tc>
        <w:tc>
          <w:tcPr>
            <w:tcW w:type="dxa" w:w="3295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산정 근거</w:t>
            </w:r>
          </w:p>
        </w:tc>
        <w:tc>
          <w:tcPr>
            <w:tcW w:type="dxa" w:w="1956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금액(원)</w:t>
            </w:r>
          </w:p>
        </w:tc>
        <w:tc>
          <w:tcPr>
            <w:tcW w:type="dxa" w:w="2225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비고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전문 인력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{{역할 × 투입기간}}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{{금액}}</w:t>
            </w:r>
          </w:p>
        </w:tc>
        <w:tc>
          <w:tcPr>
            <w:tcW w:type="dxa" w:w="222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부가세 별도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도구·라이선스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{{수량 × 단가}}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{{금액}}</w:t>
            </w:r>
          </w:p>
        </w:tc>
        <w:tc>
          <w:tcPr>
            <w:tcW w:type="dxa" w:w="222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선택 항목 구분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교육·전환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{{회차 × 대상}}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{{금액}}</w:t>
            </w:r>
          </w:p>
        </w:tc>
        <w:tc>
          <w:tcPr>
            <w:tcW w:type="dxa" w:w="222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자료 포함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합계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세부 견적과 일치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{{총액}}</w:t>
            </w:r>
          </w:p>
        </w:tc>
        <w:tc>
          <w:tcPr>
            <w:tcW w:type="dxa" w:w="222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주요 위험과 대응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059"/>
        <w:gridCol w:w="1030"/>
        <w:gridCol w:w="1030"/>
        <w:gridCol w:w="3872"/>
        <w:gridCol w:w="1647"/>
      </w:tblGrid>
      <w:tr>
        <w:trPr>
          <w:tblHeader w:val="true"/>
        </w:trPr>
        <w:tc>
          <w:tcPr>
            <w:tcW w:type="dxa" w:w="2059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위험</w:t>
            </w:r>
          </w:p>
        </w:tc>
        <w:tc>
          <w:tcPr>
            <w:tcW w:type="dxa" w:w="1030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가능성</w:t>
            </w:r>
          </w:p>
        </w:tc>
        <w:tc>
          <w:tcPr>
            <w:tcW w:type="dxa" w:w="1030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영향</w:t>
            </w:r>
          </w:p>
        </w:tc>
        <w:tc>
          <w:tcPr>
            <w:tcW w:type="dxa" w:w="3872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예방·대응</w:t>
            </w:r>
          </w:p>
        </w:tc>
        <w:tc>
          <w:tcPr>
            <w:tcW w:type="dxa" w:w="1647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담당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요구사항 변경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중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상</w:t>
            </w:r>
          </w:p>
        </w:tc>
        <w:tc>
          <w:tcPr>
            <w:tcW w:type="dxa" w:w="387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변경 절차와 영향 분석 적용</w:t>
            </w:r>
          </w:p>
        </w:tc>
        <w:tc>
          <w:tcPr>
            <w:tcW w:type="dxa" w:w="164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PM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데이터 준비 지연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중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상</w:t>
            </w:r>
          </w:p>
        </w:tc>
        <w:tc>
          <w:tcPr>
            <w:tcW w:type="dxa" w:w="387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사전 점검표와 대체 데이터 준비</w:t>
            </w:r>
          </w:p>
        </w:tc>
        <w:tc>
          <w:tcPr>
            <w:tcW w:type="dxa" w:w="164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고객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사용자 정착 저조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중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중</w:t>
            </w:r>
          </w:p>
        </w:tc>
        <w:tc>
          <w:tcPr>
            <w:tcW w:type="dxa" w:w="387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파일럿·교육·초기 지원</w:t>
            </w:r>
          </w:p>
        </w:tc>
        <w:tc>
          <w:tcPr>
            <w:tcW w:type="dxa" w:w="164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변화관리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제안 한 문장이 대상·문제·방식·효과를 모두 설명한다.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목표가 숫자 또는 명확한 판정 기준으로 측정된다.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범위·제외·전제와 고객 협조사항이 모순 없이 연결된다.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일정·산출물·예산의 명칭과 합계가 서로 일치한다.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과장된 표현, 확인되지 않은 수치, 불필요한 개인정보를 제거했다.</w:t>
      </w: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사업 제안서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0"/>
        </w:tabs>
        <w:ind w:left="540" w:hanging="280"/>
        <w:spacing w:after="80" w:line="289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☐"/>
      <w:pPr>
        <w:tabs>
          <w:tab w:val="num" w:pos="540"/>
        </w:tabs>
        <w:ind w:left="540" w:hanging="280"/>
        <w:spacing w:after="80" w:line="289" w:lineRule="auto"/>
      </w:pPr>
      <w:rPr>
        <w:rFonts w:ascii="Malgun Gothic" w:hAnsi="Malgun Gothic" w:eastAsia="Malgun Gothic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60" w:line="320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0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사업 제안서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